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AC" w:rsidRPr="004A0C10" w:rsidRDefault="005B7EAC" w:rsidP="005B7EAC">
      <w:pPr>
        <w:jc w:val="center"/>
        <w:rPr>
          <w:rFonts w:cs="B Jadid"/>
          <w:sz w:val="20"/>
          <w:szCs w:val="20"/>
          <w:rtl/>
        </w:rPr>
      </w:pPr>
      <w:r w:rsidRPr="006B28A7">
        <w:rPr>
          <w:rFonts w:cs="B Titr" w:hint="cs"/>
          <w:sz w:val="20"/>
          <w:szCs w:val="20"/>
          <w:rtl/>
        </w:rPr>
        <w:t>فرم استعلا</w:t>
      </w:r>
      <w:r w:rsidR="00994CDB">
        <w:rPr>
          <w:rFonts w:cs="B Titr" w:hint="cs"/>
          <w:sz w:val="20"/>
          <w:szCs w:val="20"/>
          <w:rtl/>
        </w:rPr>
        <w:t>م بهاء گودبرداری</w:t>
      </w:r>
      <w:r>
        <w:rPr>
          <w:rFonts w:cs="B Titr" w:hint="cs"/>
          <w:sz w:val="20"/>
          <w:szCs w:val="20"/>
          <w:rtl/>
        </w:rPr>
        <w:t xml:space="preserve"> پروژه اسپینر </w:t>
      </w:r>
      <w:r>
        <w:rPr>
          <w:rFonts w:cs="B Jadid" w:hint="cs"/>
          <w:sz w:val="20"/>
          <w:szCs w:val="20"/>
          <w:rtl/>
        </w:rPr>
        <w:t xml:space="preserve"> </w:t>
      </w:r>
    </w:p>
    <w:p w:rsidR="005B7EAC" w:rsidRPr="006D2F97" w:rsidRDefault="005B7EAC" w:rsidP="005B7EAC">
      <w:pPr>
        <w:jc w:val="center"/>
        <w:rPr>
          <w:rFonts w:cs="B Jadid"/>
          <w:sz w:val="2"/>
          <w:szCs w:val="2"/>
          <w:rtl/>
        </w:rPr>
      </w:pPr>
    </w:p>
    <w:p w:rsidR="005B7EAC" w:rsidRPr="006D2F97" w:rsidRDefault="005B7EAC" w:rsidP="005B7EAC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0"/>
          <w:szCs w:val="20"/>
          <w:rtl/>
        </w:rPr>
        <w:t>شرکت /پیمانکار</w:t>
      </w:r>
      <w:r>
        <w:rPr>
          <w:rFonts w:cs="B Titr" w:hint="cs"/>
          <w:b/>
          <w:bCs/>
          <w:color w:val="F2F2F2" w:themeColor="background1" w:themeShade="F2"/>
          <w:sz w:val="20"/>
          <w:szCs w:val="20"/>
          <w:rtl/>
        </w:rPr>
        <w:t>..................</w:t>
      </w:r>
      <w:r w:rsidRPr="009E49DA">
        <w:rPr>
          <w:rFonts w:cs="B Titr" w:hint="cs"/>
          <w:b/>
          <w:bCs/>
          <w:color w:val="F2F2F2" w:themeColor="background1" w:themeShade="F2"/>
          <w:sz w:val="20"/>
          <w:szCs w:val="20"/>
          <w:rtl/>
        </w:rPr>
        <w:t xml:space="preserve"> </w:t>
      </w:r>
      <w:r w:rsidRPr="006D2F97">
        <w:rPr>
          <w:rFonts w:cs="B Nazanin" w:hint="cs"/>
          <w:b/>
          <w:bCs/>
          <w:sz w:val="20"/>
          <w:szCs w:val="20"/>
          <w:rtl/>
        </w:rPr>
        <w:t xml:space="preserve">بدینوسیله به اطلاع می رساند که این </w:t>
      </w:r>
      <w:r>
        <w:rPr>
          <w:rFonts w:cs="B Nazanin" w:hint="cs"/>
          <w:b/>
          <w:bCs/>
          <w:sz w:val="20"/>
          <w:szCs w:val="20"/>
          <w:rtl/>
        </w:rPr>
        <w:t>شرکت</w:t>
      </w:r>
      <w:r w:rsidRPr="006D2F97">
        <w:rPr>
          <w:rFonts w:cs="B Nazanin" w:hint="cs"/>
          <w:b/>
          <w:bCs/>
          <w:sz w:val="20"/>
          <w:szCs w:val="20"/>
          <w:rtl/>
        </w:rPr>
        <w:t xml:space="preserve"> قصد دارد </w:t>
      </w:r>
      <w:r w:rsidR="00C85D48">
        <w:rPr>
          <w:rFonts w:cs="B Nazanin" w:hint="cs"/>
          <w:b/>
          <w:bCs/>
          <w:sz w:val="20"/>
          <w:szCs w:val="20"/>
          <w:rtl/>
        </w:rPr>
        <w:t xml:space="preserve">اجرای عملیات خاکبرداری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6D2F97">
        <w:rPr>
          <w:rFonts w:cs="B Nazanin" w:hint="cs"/>
          <w:b/>
          <w:bCs/>
          <w:sz w:val="20"/>
          <w:szCs w:val="20"/>
          <w:rtl/>
        </w:rPr>
        <w:t xml:space="preserve">پروژه </w:t>
      </w:r>
      <w:r w:rsidR="00FF245B">
        <w:rPr>
          <w:rFonts w:cs="B Nazanin" w:hint="cs"/>
          <w:b/>
          <w:bCs/>
          <w:sz w:val="20"/>
          <w:szCs w:val="20"/>
          <w:rtl/>
        </w:rPr>
        <w:t xml:space="preserve">مسکونی اسپینر </w:t>
      </w:r>
      <w:r w:rsidRPr="006D2F97">
        <w:rPr>
          <w:rFonts w:cs="B Nazanin" w:hint="cs"/>
          <w:b/>
          <w:bCs/>
          <w:sz w:val="20"/>
          <w:szCs w:val="20"/>
          <w:rtl/>
        </w:rPr>
        <w:t xml:space="preserve">واقع </w:t>
      </w:r>
      <w:r w:rsidR="00C85D48">
        <w:rPr>
          <w:rFonts w:cs="B Nazanin" w:hint="cs"/>
          <w:b/>
          <w:bCs/>
          <w:sz w:val="20"/>
          <w:szCs w:val="20"/>
          <w:rtl/>
        </w:rPr>
        <w:t xml:space="preserve">سپاهانشهر ضلع غربی میدان الغدیر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6D2F97">
        <w:rPr>
          <w:rFonts w:cs="B Nazanin" w:hint="cs"/>
          <w:b/>
          <w:bCs/>
          <w:sz w:val="20"/>
          <w:szCs w:val="20"/>
          <w:rtl/>
        </w:rPr>
        <w:t>را از طریق مناقصه به اجرا درآورد</w:t>
      </w:r>
      <w:r>
        <w:rPr>
          <w:rFonts w:cs="B Nazanin" w:hint="cs"/>
          <w:b/>
          <w:bCs/>
          <w:sz w:val="20"/>
          <w:szCs w:val="20"/>
          <w:rtl/>
        </w:rPr>
        <w:t xml:space="preserve"> . خواهشمند است پیشنهاد قیمت های</w:t>
      </w:r>
      <w:r w:rsidRPr="006D2F97">
        <w:rPr>
          <w:rFonts w:cs="B Nazanin" w:hint="cs"/>
          <w:b/>
          <w:bCs/>
          <w:sz w:val="20"/>
          <w:szCs w:val="20"/>
          <w:rtl/>
        </w:rPr>
        <w:t xml:space="preserve"> ذیل را حداکثر تا تاریخ</w:t>
      </w:r>
      <w:r>
        <w:rPr>
          <w:rFonts w:cs="B Nazanin" w:hint="cs"/>
          <w:b/>
          <w:bCs/>
          <w:sz w:val="20"/>
          <w:szCs w:val="20"/>
          <w:rtl/>
        </w:rPr>
        <w:t xml:space="preserve"> ........................... </w:t>
      </w:r>
      <w:r w:rsidRPr="006D2F97">
        <w:rPr>
          <w:rFonts w:cs="B Nazanin" w:hint="cs"/>
          <w:b/>
          <w:bCs/>
          <w:sz w:val="20"/>
          <w:szCs w:val="20"/>
          <w:rtl/>
        </w:rPr>
        <w:t>در پاکت دربسته به امور اداری شرکت</w:t>
      </w:r>
      <w:r>
        <w:rPr>
          <w:rFonts w:cs="B Nazanin" w:hint="cs"/>
          <w:b/>
          <w:bCs/>
          <w:sz w:val="20"/>
          <w:szCs w:val="20"/>
          <w:rtl/>
        </w:rPr>
        <w:t xml:space="preserve"> تعاونی مسکن دانشگاه علوم پزشکی اصفهان </w:t>
      </w:r>
      <w:r w:rsidRPr="006D2F97">
        <w:rPr>
          <w:rFonts w:cs="B Nazanin" w:hint="cs"/>
          <w:b/>
          <w:bCs/>
          <w:sz w:val="20"/>
          <w:szCs w:val="20"/>
          <w:rtl/>
        </w:rPr>
        <w:t xml:space="preserve">واقع در خیابان </w:t>
      </w:r>
      <w:r>
        <w:rPr>
          <w:rFonts w:cs="B Nazanin" w:hint="cs"/>
          <w:b/>
          <w:bCs/>
          <w:sz w:val="20"/>
          <w:szCs w:val="20"/>
          <w:rtl/>
        </w:rPr>
        <w:t xml:space="preserve">هزار جریب ورودی کوی امام جعفر صادق(ع) مجتمع اداری - تجاری پردیس ، ورودی 9 واحد  1 </w:t>
      </w:r>
      <w:r w:rsidRPr="006D2F97">
        <w:rPr>
          <w:rFonts w:cs="B Nazanin" w:hint="cs"/>
          <w:b/>
          <w:bCs/>
          <w:sz w:val="20"/>
          <w:szCs w:val="20"/>
          <w:rtl/>
        </w:rPr>
        <w:t xml:space="preserve">تحویل نمائید </w:t>
      </w:r>
      <w:r w:rsidRPr="006D2F97">
        <w:rPr>
          <w:rFonts w:cs="B Nazanin" w:hint="cs"/>
          <w:b/>
          <w:bCs/>
          <w:rtl/>
        </w:rPr>
        <w:t>.</w:t>
      </w:r>
    </w:p>
    <w:tbl>
      <w:tblPr>
        <w:tblStyle w:val="TableGrid"/>
        <w:bidiVisual/>
        <w:tblW w:w="9583" w:type="dxa"/>
        <w:jc w:val="center"/>
        <w:tblLook w:val="04A0" w:firstRow="1" w:lastRow="0" w:firstColumn="1" w:lastColumn="0" w:noHBand="0" w:noVBand="1"/>
      </w:tblPr>
      <w:tblGrid>
        <w:gridCol w:w="575"/>
        <w:gridCol w:w="4367"/>
        <w:gridCol w:w="838"/>
        <w:gridCol w:w="999"/>
        <w:gridCol w:w="1424"/>
        <w:gridCol w:w="1380"/>
      </w:tblGrid>
      <w:tr w:rsidR="005B7EAC" w:rsidRPr="00123820" w:rsidTr="00EE2A08">
        <w:trPr>
          <w:trHeight w:val="131"/>
          <w:jc w:val="center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5B7EAC" w:rsidRPr="00123820" w:rsidRDefault="005B7EAC" w:rsidP="00EE2A0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23820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5B7EAC" w:rsidRPr="00123820" w:rsidRDefault="005B7EAC" w:rsidP="00EE2A0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نوع عملیات </w:t>
            </w:r>
          </w:p>
        </w:tc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5B7EAC" w:rsidRPr="00123820" w:rsidRDefault="005B7EAC" w:rsidP="00EE2A0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حجم</w:t>
            </w:r>
          </w:p>
        </w:tc>
        <w:tc>
          <w:tcPr>
            <w:tcW w:w="9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5B7EAC" w:rsidRPr="00123820" w:rsidRDefault="005B7EAC" w:rsidP="00EE2A0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28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5B7EAC" w:rsidRPr="00123820" w:rsidRDefault="005B7EAC" w:rsidP="00EE2A0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23820">
              <w:rPr>
                <w:rFonts w:cs="B Titr" w:hint="cs"/>
                <w:b/>
                <w:bCs/>
                <w:sz w:val="18"/>
                <w:szCs w:val="18"/>
                <w:rtl/>
              </w:rPr>
              <w:t>قیمت پیشنهادی</w:t>
            </w:r>
          </w:p>
        </w:tc>
      </w:tr>
      <w:tr w:rsidR="005B7EAC" w:rsidRPr="00123820" w:rsidTr="00EE2A08">
        <w:trPr>
          <w:trHeight w:val="158"/>
          <w:jc w:val="center"/>
        </w:trPr>
        <w:tc>
          <w:tcPr>
            <w:tcW w:w="5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EAC" w:rsidRPr="00123820" w:rsidRDefault="005B7EAC" w:rsidP="00EE2A0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EAC" w:rsidRPr="00123820" w:rsidRDefault="005B7EAC" w:rsidP="00EE2A0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EAC" w:rsidRPr="00123820" w:rsidRDefault="005B7EAC" w:rsidP="00EE2A0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EAC" w:rsidRPr="00123820" w:rsidRDefault="005B7EAC" w:rsidP="00EE2A0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5B7EAC" w:rsidRPr="00123820" w:rsidRDefault="005B7EAC" w:rsidP="00EE2A0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23820">
              <w:rPr>
                <w:rFonts w:cs="B Titr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5B7EAC" w:rsidRPr="00123820" w:rsidRDefault="005B7EAC" w:rsidP="00EE2A0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23820">
              <w:rPr>
                <w:rFonts w:cs="B Titr" w:hint="cs"/>
                <w:b/>
                <w:bCs/>
                <w:sz w:val="18"/>
                <w:szCs w:val="18"/>
                <w:rtl/>
              </w:rPr>
              <w:t>کل</w:t>
            </w:r>
          </w:p>
        </w:tc>
      </w:tr>
      <w:tr w:rsidR="005B7EAC" w:rsidRPr="00123820" w:rsidTr="00EE2A08">
        <w:trPr>
          <w:trHeight w:val="615"/>
          <w:jc w:val="center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5B7EAC" w:rsidRPr="00123820" w:rsidRDefault="005B7EAC" w:rsidP="00EE2A0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3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7EAC" w:rsidRPr="00123820" w:rsidRDefault="00994CDB" w:rsidP="00EE2A0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اجرای عملیات گودبرداری</w:t>
            </w:r>
            <w:bookmarkStart w:id="0" w:name="_GoBack"/>
            <w:bookmarkEnd w:id="0"/>
          </w:p>
        </w:tc>
        <w:tc>
          <w:tcPr>
            <w:tcW w:w="8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7EAC" w:rsidRPr="00123820" w:rsidRDefault="005B7EAC" w:rsidP="00EE2A0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50000</w:t>
            </w:r>
          </w:p>
        </w:tc>
        <w:tc>
          <w:tcPr>
            <w:tcW w:w="9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7EAC" w:rsidRPr="00123820" w:rsidRDefault="005B7EAC" w:rsidP="00EE2A0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متر مکعب 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7EAC" w:rsidRPr="00123820" w:rsidRDefault="005B7EAC" w:rsidP="00EE2A0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متر مکعب</w:t>
            </w:r>
          </w:p>
        </w:tc>
        <w:tc>
          <w:tcPr>
            <w:tcW w:w="13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7EAC" w:rsidRPr="00123820" w:rsidRDefault="005B7EAC" w:rsidP="00EE2A0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5B7EAC" w:rsidRDefault="005B7EAC" w:rsidP="005B7EAC">
      <w:pPr>
        <w:rPr>
          <w:sz w:val="2"/>
          <w:szCs w:val="2"/>
          <w:rtl/>
        </w:rPr>
      </w:pPr>
    </w:p>
    <w:p w:rsidR="005B7EAC" w:rsidRPr="00FB1F87" w:rsidRDefault="005B7EAC" w:rsidP="005B7EAC">
      <w:pPr>
        <w:rPr>
          <w:rFonts w:cs="B Titr"/>
          <w:sz w:val="18"/>
          <w:szCs w:val="18"/>
          <w:rtl/>
        </w:rPr>
      </w:pPr>
      <w:r w:rsidRPr="00FB1F87">
        <w:rPr>
          <w:rFonts w:cs="B Titr" w:hint="cs"/>
          <w:sz w:val="18"/>
          <w:szCs w:val="18"/>
          <w:rtl/>
        </w:rPr>
        <w:t>توضیحات :</w:t>
      </w:r>
    </w:p>
    <w:p w:rsidR="005B7EAC" w:rsidRPr="00FB1F87" w:rsidRDefault="005B7EAC" w:rsidP="005B7EAC">
      <w:pPr>
        <w:pStyle w:val="ListParagraph"/>
        <w:numPr>
          <w:ilvl w:val="0"/>
          <w:numId w:val="1"/>
        </w:numPr>
        <w:rPr>
          <w:rFonts w:cs="B Nazanin"/>
          <w:b/>
          <w:bCs/>
          <w:sz w:val="20"/>
          <w:szCs w:val="20"/>
        </w:rPr>
      </w:pPr>
      <w:r w:rsidRPr="00FB1F87">
        <w:rPr>
          <w:rFonts w:cs="B Nazanin" w:hint="cs"/>
          <w:b/>
          <w:bCs/>
          <w:sz w:val="20"/>
          <w:szCs w:val="20"/>
          <w:rtl/>
        </w:rPr>
        <w:t xml:space="preserve">این </w:t>
      </w:r>
      <w:r>
        <w:rPr>
          <w:rFonts w:cs="B Nazanin" w:hint="cs"/>
          <w:b/>
          <w:bCs/>
          <w:sz w:val="20"/>
          <w:szCs w:val="20"/>
          <w:rtl/>
        </w:rPr>
        <w:t>استعلام می بایست  توسط صاحبان امضای</w:t>
      </w:r>
      <w:r w:rsidRPr="00FB1F87">
        <w:rPr>
          <w:rFonts w:cs="B Nazanin" w:hint="cs"/>
          <w:b/>
          <w:bCs/>
          <w:sz w:val="20"/>
          <w:szCs w:val="20"/>
          <w:rtl/>
        </w:rPr>
        <w:t xml:space="preserve"> مجاز و تعهد آور </w:t>
      </w:r>
      <w:r>
        <w:rPr>
          <w:rFonts w:cs="B Nazanin" w:hint="cs"/>
          <w:b/>
          <w:bCs/>
          <w:sz w:val="20"/>
          <w:szCs w:val="20"/>
          <w:rtl/>
        </w:rPr>
        <w:t xml:space="preserve">پیمانکار شرکت </w:t>
      </w:r>
      <w:r w:rsidRPr="00FB1F87">
        <w:rPr>
          <w:rFonts w:cs="B Nazanin" w:hint="cs"/>
          <w:b/>
          <w:bCs/>
          <w:sz w:val="20"/>
          <w:szCs w:val="20"/>
          <w:rtl/>
        </w:rPr>
        <w:t xml:space="preserve"> در مناقصه مهر و امضاء گردد . </w:t>
      </w:r>
    </w:p>
    <w:p w:rsidR="005B7EAC" w:rsidRPr="00FB1F87" w:rsidRDefault="005B7EAC" w:rsidP="005B7EAC">
      <w:pPr>
        <w:pStyle w:val="ListParagraph"/>
        <w:numPr>
          <w:ilvl w:val="0"/>
          <w:numId w:val="1"/>
        </w:numPr>
        <w:rPr>
          <w:rFonts w:cs="B Nazanin"/>
          <w:b/>
          <w:bCs/>
          <w:sz w:val="20"/>
          <w:szCs w:val="20"/>
        </w:rPr>
      </w:pPr>
      <w:r w:rsidRPr="00FB1F87">
        <w:rPr>
          <w:rFonts w:cs="B Nazanin" w:hint="cs"/>
          <w:b/>
          <w:bCs/>
          <w:sz w:val="20"/>
          <w:szCs w:val="20"/>
          <w:rtl/>
        </w:rPr>
        <w:t>لازم است قبل از اعلام قیمت</w:t>
      </w:r>
      <w:r>
        <w:rPr>
          <w:rFonts w:cs="B Nazanin" w:hint="cs"/>
          <w:b/>
          <w:bCs/>
          <w:sz w:val="20"/>
          <w:szCs w:val="20"/>
          <w:rtl/>
        </w:rPr>
        <w:t xml:space="preserve"> ،</w:t>
      </w:r>
      <w:r w:rsidRPr="00FB1F87">
        <w:rPr>
          <w:rFonts w:cs="B Nazanin" w:hint="cs"/>
          <w:b/>
          <w:bCs/>
          <w:sz w:val="20"/>
          <w:szCs w:val="20"/>
          <w:rtl/>
        </w:rPr>
        <w:t xml:space="preserve"> با هماهنگی از محل پروژه بازدید و محل اجرا و شرایط کار دقیقاً بررسی گردد .</w:t>
      </w:r>
    </w:p>
    <w:p w:rsidR="005B7EAC" w:rsidRPr="00FB1F87" w:rsidRDefault="005B7EAC" w:rsidP="005B7EAC">
      <w:pPr>
        <w:pStyle w:val="ListParagraph"/>
        <w:numPr>
          <w:ilvl w:val="0"/>
          <w:numId w:val="1"/>
        </w:numPr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ارائه آگهی تاسیس و آخرین تغییرات  جهت شرکت الزامیست .</w:t>
      </w:r>
    </w:p>
    <w:p w:rsidR="005B7EAC" w:rsidRPr="00FB1F87" w:rsidRDefault="005B7EAC" w:rsidP="005B7EAC">
      <w:pPr>
        <w:pStyle w:val="ListParagraph"/>
        <w:numPr>
          <w:ilvl w:val="0"/>
          <w:numId w:val="1"/>
        </w:numPr>
        <w:rPr>
          <w:rFonts w:cs="B Nazanin"/>
          <w:b/>
          <w:bCs/>
          <w:sz w:val="20"/>
          <w:szCs w:val="20"/>
          <w:rtl/>
        </w:rPr>
      </w:pPr>
      <w:r w:rsidRPr="00FB1F87">
        <w:rPr>
          <w:rFonts w:cs="B Nazanin" w:hint="cs"/>
          <w:b/>
          <w:bCs/>
          <w:sz w:val="20"/>
          <w:szCs w:val="20"/>
          <w:rtl/>
        </w:rPr>
        <w:t xml:space="preserve">شرکت </w:t>
      </w:r>
      <w:r>
        <w:rPr>
          <w:rFonts w:cs="B Nazanin" w:hint="cs"/>
          <w:b/>
          <w:bCs/>
          <w:sz w:val="20"/>
          <w:szCs w:val="20"/>
          <w:rtl/>
        </w:rPr>
        <w:t>تعاونی مسکن علوم پزشکی اصفهان</w:t>
      </w:r>
      <w:r w:rsidRPr="00FB1F87">
        <w:rPr>
          <w:rFonts w:cs="B Nazanin" w:hint="cs"/>
          <w:b/>
          <w:bCs/>
          <w:sz w:val="20"/>
          <w:szCs w:val="20"/>
          <w:rtl/>
        </w:rPr>
        <w:t xml:space="preserve"> در رد یا قبول پیشنهاد</w:t>
      </w:r>
      <w:r>
        <w:rPr>
          <w:rFonts w:cs="B Nazanin" w:hint="cs"/>
          <w:b/>
          <w:bCs/>
          <w:sz w:val="20"/>
          <w:szCs w:val="20"/>
          <w:rtl/>
        </w:rPr>
        <w:t>ا</w:t>
      </w:r>
      <w:r w:rsidRPr="00FB1F87">
        <w:rPr>
          <w:rFonts w:cs="B Nazanin" w:hint="cs"/>
          <w:b/>
          <w:bCs/>
          <w:sz w:val="20"/>
          <w:szCs w:val="20"/>
          <w:rtl/>
        </w:rPr>
        <w:t xml:space="preserve">ت </w:t>
      </w:r>
      <w:r>
        <w:rPr>
          <w:rFonts w:cs="B Nazanin" w:hint="cs"/>
          <w:b/>
          <w:bCs/>
          <w:sz w:val="20"/>
          <w:szCs w:val="20"/>
          <w:rtl/>
        </w:rPr>
        <w:t>مختار</w:t>
      </w:r>
      <w:r w:rsidRPr="00FB1F87">
        <w:rPr>
          <w:rFonts w:cs="B Nazanin" w:hint="cs"/>
          <w:b/>
          <w:bCs/>
          <w:sz w:val="20"/>
          <w:szCs w:val="20"/>
          <w:rtl/>
        </w:rPr>
        <w:t xml:space="preserve"> خواهد بود .  </w:t>
      </w:r>
    </w:p>
    <w:p w:rsidR="005B7EAC" w:rsidRDefault="005B7EAC" w:rsidP="005B7EAC">
      <w:pPr>
        <w:pStyle w:val="ListParagraph"/>
        <w:numPr>
          <w:ilvl w:val="0"/>
          <w:numId w:val="1"/>
        </w:numPr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پیمانکار موظف است جدول زمانبندی پیشرفت فیزیکی پیشنهادی خود را همزمان با استعلام ارائه نماید . </w:t>
      </w:r>
    </w:p>
    <w:p w:rsidR="005B7EAC" w:rsidRDefault="005B7EAC" w:rsidP="005B7EAC">
      <w:pPr>
        <w:pStyle w:val="ListParagraph"/>
        <w:numPr>
          <w:ilvl w:val="0"/>
          <w:numId w:val="1"/>
        </w:numPr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پیمانکار موظف است چارت سازمانی اجرایی پروژه و معرفی نیروهای فنی خود را در زمان استعلام اعلام نماید . </w:t>
      </w:r>
    </w:p>
    <w:p w:rsidR="005B7EAC" w:rsidRDefault="005B7EAC" w:rsidP="005B7EAC">
      <w:pPr>
        <w:pStyle w:val="ListParagraph"/>
        <w:numPr>
          <w:ilvl w:val="0"/>
          <w:numId w:val="1"/>
        </w:numPr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پیمانکار با توجه به سابقه و توانایی خود و اشراف بر مباحث 23 گانه مقررات ملی ساختمان و دیگر نشریات و آیین نامه های اجرایی می بایست کلیه موارد فنی و اجرایی را در نظر گرفته و بر اساس آن اعلام قیمت نماید ، بدیهی است هیچگونه اضافه بهایی در خصوص از قلم افتادن هر آیتم پیش بینی نشده پرداخت نمی گردد . </w:t>
      </w:r>
    </w:p>
    <w:p w:rsidR="005B7EAC" w:rsidRPr="00D5418F" w:rsidRDefault="005B7EAC" w:rsidP="005B7EAC">
      <w:pPr>
        <w:pStyle w:val="ListParagraph"/>
        <w:numPr>
          <w:ilvl w:val="0"/>
          <w:numId w:val="1"/>
        </w:numPr>
        <w:rPr>
          <w:rFonts w:cs="B Nazanin"/>
          <w:b/>
          <w:bCs/>
          <w:sz w:val="20"/>
          <w:szCs w:val="20"/>
        </w:rPr>
      </w:pPr>
      <w:r w:rsidRPr="00D5418F">
        <w:rPr>
          <w:rFonts w:cs="B Nazanin" w:hint="cs"/>
          <w:b/>
          <w:bCs/>
          <w:sz w:val="20"/>
          <w:szCs w:val="20"/>
          <w:rtl/>
        </w:rPr>
        <w:t xml:space="preserve">قیمت ارائه شده بصورت خالص و بدون احتساب کسورات قانونی ارائه گردد . </w:t>
      </w:r>
    </w:p>
    <w:p w:rsidR="005B7EAC" w:rsidRPr="00946993" w:rsidRDefault="005B7EAC" w:rsidP="005B7EAC">
      <w:pPr>
        <w:rPr>
          <w:rFonts w:cs="B Titr"/>
          <w:sz w:val="18"/>
          <w:szCs w:val="18"/>
          <w:rtl/>
        </w:rPr>
      </w:pPr>
      <w:r w:rsidRPr="00946993">
        <w:rPr>
          <w:rFonts w:cs="B Titr" w:hint="cs"/>
          <w:sz w:val="18"/>
          <w:szCs w:val="18"/>
          <w:rtl/>
        </w:rPr>
        <w:t>سایر شرایط :</w:t>
      </w:r>
    </w:p>
    <w:p w:rsidR="005B7EAC" w:rsidRPr="00946993" w:rsidRDefault="005B7EAC" w:rsidP="005B7EAC">
      <w:pPr>
        <w:pStyle w:val="ListParagraph"/>
        <w:numPr>
          <w:ilvl w:val="0"/>
          <w:numId w:val="2"/>
        </w:numPr>
        <w:rPr>
          <w:rFonts w:cs="B Nazanin"/>
          <w:b/>
          <w:bCs/>
          <w:sz w:val="18"/>
          <w:szCs w:val="18"/>
        </w:rPr>
      </w:pPr>
      <w:r w:rsidRPr="00946993">
        <w:rPr>
          <w:rFonts w:cs="B Nazanin" w:hint="cs"/>
          <w:b/>
          <w:bCs/>
          <w:sz w:val="18"/>
          <w:szCs w:val="18"/>
          <w:rtl/>
        </w:rPr>
        <w:t xml:space="preserve">پیمانکار موظف است  خاکبرداری پروژه را طبق نقشه های کارفرما و تائیدیه های کارفرما اقدام نماید </w:t>
      </w:r>
    </w:p>
    <w:p w:rsidR="005B7EAC" w:rsidRPr="00946993" w:rsidRDefault="005B7EAC" w:rsidP="005B7EAC">
      <w:pPr>
        <w:pStyle w:val="ListParagraph"/>
        <w:numPr>
          <w:ilvl w:val="0"/>
          <w:numId w:val="2"/>
        </w:numPr>
        <w:rPr>
          <w:rFonts w:cs="B Nazanin"/>
          <w:b/>
          <w:bCs/>
          <w:sz w:val="18"/>
          <w:szCs w:val="18"/>
        </w:rPr>
      </w:pPr>
      <w:r w:rsidRPr="00946993">
        <w:rPr>
          <w:rFonts w:cs="B Nazanin" w:hint="cs"/>
          <w:b/>
          <w:bCs/>
          <w:sz w:val="18"/>
          <w:szCs w:val="18"/>
          <w:rtl/>
        </w:rPr>
        <w:t>پیمانکار می بایستی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946993">
        <w:rPr>
          <w:rFonts w:cs="B Nazanin" w:hint="cs"/>
          <w:b/>
          <w:bCs/>
          <w:sz w:val="18"/>
          <w:szCs w:val="18"/>
          <w:rtl/>
        </w:rPr>
        <w:t xml:space="preserve">محلی جهت تخلیه خاک ها در نظر بگیرد و عواقب آن ارتباطی با کارفرما ندارد </w:t>
      </w:r>
    </w:p>
    <w:p w:rsidR="005B7EAC" w:rsidRPr="00946993" w:rsidRDefault="005B7EAC" w:rsidP="005B7EAC">
      <w:pPr>
        <w:pStyle w:val="ListParagraph"/>
        <w:numPr>
          <w:ilvl w:val="0"/>
          <w:numId w:val="2"/>
        </w:numPr>
        <w:rPr>
          <w:rFonts w:cs="B Nazanin"/>
          <w:b/>
          <w:bCs/>
          <w:sz w:val="18"/>
          <w:szCs w:val="18"/>
        </w:rPr>
      </w:pPr>
      <w:r w:rsidRPr="00946993">
        <w:rPr>
          <w:rFonts w:cs="B Nazanin" w:hint="cs"/>
          <w:b/>
          <w:bCs/>
          <w:sz w:val="18"/>
          <w:szCs w:val="18"/>
          <w:rtl/>
        </w:rPr>
        <w:t>کارفرما فقط محلی برای استراحت در اختیار پیمانکار قرار می دهد و هیچگونه تعهدی در قبال تامین سوخت و غذا و سایر موارد مصرفی ندارد .</w:t>
      </w:r>
    </w:p>
    <w:p w:rsidR="005B7EAC" w:rsidRPr="00946993" w:rsidRDefault="005B7EAC" w:rsidP="005B7EAC">
      <w:pPr>
        <w:pStyle w:val="ListParagraph"/>
        <w:numPr>
          <w:ilvl w:val="0"/>
          <w:numId w:val="2"/>
        </w:numPr>
        <w:rPr>
          <w:rFonts w:cs="B Nazanin"/>
          <w:b/>
          <w:bCs/>
          <w:sz w:val="18"/>
          <w:szCs w:val="18"/>
        </w:rPr>
      </w:pPr>
      <w:r w:rsidRPr="00946993">
        <w:rPr>
          <w:rFonts w:cs="B Nazanin" w:hint="cs"/>
          <w:b/>
          <w:bCs/>
          <w:sz w:val="18"/>
          <w:szCs w:val="18"/>
          <w:rtl/>
        </w:rPr>
        <w:t xml:space="preserve">پیمانکار موظف به تامین ماشین آلات مورد نیاز طبق نظر کارفرما می باشد . </w:t>
      </w:r>
    </w:p>
    <w:p w:rsidR="005B7EAC" w:rsidRDefault="005B7EAC" w:rsidP="005B7EAC">
      <w:pPr>
        <w:pStyle w:val="ListParagraph"/>
        <w:numPr>
          <w:ilvl w:val="0"/>
          <w:numId w:val="2"/>
        </w:numPr>
        <w:rPr>
          <w:rFonts w:cs="B Nazanin"/>
          <w:b/>
          <w:bCs/>
          <w:sz w:val="18"/>
          <w:szCs w:val="18"/>
        </w:rPr>
      </w:pPr>
      <w:r w:rsidRPr="00946993">
        <w:rPr>
          <w:rFonts w:cs="B Nazanin" w:hint="cs"/>
          <w:b/>
          <w:bCs/>
          <w:sz w:val="18"/>
          <w:szCs w:val="18"/>
          <w:rtl/>
        </w:rPr>
        <w:t>ضمناً لازم به توضیح می باشد محاسبه متراژ خاکبرداری بر اساس متراژ خ</w:t>
      </w:r>
      <w:r>
        <w:rPr>
          <w:rFonts w:cs="B Nazanin" w:hint="cs"/>
          <w:b/>
          <w:bCs/>
          <w:sz w:val="18"/>
          <w:szCs w:val="18"/>
          <w:rtl/>
        </w:rPr>
        <w:t xml:space="preserve">اک قرضه ( کنده نشده ) می باشد که پس از نقشه برداری مشخص خواهد شد . </w:t>
      </w:r>
    </w:p>
    <w:p w:rsidR="005B7EAC" w:rsidRDefault="005B7EAC" w:rsidP="005B7EAC">
      <w:pPr>
        <w:pStyle w:val="ListParagraph"/>
        <w:numPr>
          <w:ilvl w:val="0"/>
          <w:numId w:val="2"/>
        </w:numPr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>مسئولیت تردد ماشین آلات و هرگونه حوادث و اتفاقاتی که ناشی از خاکبرداری می باشد ،  به عهده پیمانکار می باشد .</w:t>
      </w:r>
    </w:p>
    <w:p w:rsidR="005B7EAC" w:rsidRDefault="005B7EAC" w:rsidP="005B7EAC">
      <w:pPr>
        <w:pStyle w:val="ListParagraph"/>
        <w:numPr>
          <w:ilvl w:val="0"/>
          <w:numId w:val="2"/>
        </w:numPr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مدت زمان اجرای کار 3ماه  می باشد . </w:t>
      </w:r>
    </w:p>
    <w:p w:rsidR="0016539E" w:rsidRPr="005B7EAC" w:rsidRDefault="005B7EAC" w:rsidP="005B7EAC">
      <w:pPr>
        <w:pStyle w:val="ListParagraph"/>
        <w:numPr>
          <w:ilvl w:val="0"/>
          <w:numId w:val="2"/>
        </w:numPr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>قیمت ارائه شده به صورت خالص وبدون احتساب کسورات قانونی ارائه می گردد.</w:t>
      </w:r>
    </w:p>
    <w:sectPr w:rsidR="0016539E" w:rsidRPr="005B7EAC" w:rsidSect="00CC5525">
      <w:footerReference w:type="default" r:id="rId7"/>
      <w:pgSz w:w="11906" w:h="16838"/>
      <w:pgMar w:top="1134" w:right="1983" w:bottom="992" w:left="851" w:header="709" w:footer="81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13" w:rsidRDefault="00AC4113">
      <w:pPr>
        <w:spacing w:after="0" w:line="240" w:lineRule="auto"/>
      </w:pPr>
      <w:r>
        <w:separator/>
      </w:r>
    </w:p>
  </w:endnote>
  <w:endnote w:type="continuationSeparator" w:id="0">
    <w:p w:rsidR="00AC4113" w:rsidRDefault="00AC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A6" w:rsidRDefault="005B7EAC" w:rsidP="00167984">
    <w:pPr>
      <w:rPr>
        <w:rFonts w:cs="B Jadid"/>
        <w:sz w:val="16"/>
        <w:szCs w:val="16"/>
        <w:rtl/>
      </w:rPr>
    </w:pPr>
    <w:r>
      <w:rPr>
        <w:rFonts w:cs="B Jadid" w:hint="cs"/>
        <w:sz w:val="16"/>
        <w:szCs w:val="16"/>
        <w:rtl/>
      </w:rPr>
      <w:t xml:space="preserve">                              امضاء و مهر                                                                                                                                              </w:t>
    </w:r>
  </w:p>
  <w:p w:rsidR="00D5418F" w:rsidRPr="00504342" w:rsidRDefault="005B7EAC" w:rsidP="00167984">
    <w:pPr>
      <w:rPr>
        <w:rFonts w:cs="B Jadid"/>
        <w:sz w:val="16"/>
        <w:szCs w:val="16"/>
        <w:rtl/>
      </w:rPr>
    </w:pPr>
    <w:r>
      <w:rPr>
        <w:rFonts w:cs="B Jadid" w:hint="cs"/>
        <w:sz w:val="16"/>
        <w:szCs w:val="16"/>
        <w:rtl/>
      </w:rPr>
      <w:t xml:space="preserve">                           پیمانکار/ شرکت                                                                                                                          تعاونی مسکن دانشگاه علوم پزشکی</w:t>
    </w:r>
  </w:p>
  <w:p w:rsidR="00B627A6" w:rsidRPr="00504342" w:rsidRDefault="00AC411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13" w:rsidRDefault="00AC4113">
      <w:pPr>
        <w:spacing w:after="0" w:line="240" w:lineRule="auto"/>
      </w:pPr>
      <w:r>
        <w:separator/>
      </w:r>
    </w:p>
  </w:footnote>
  <w:footnote w:type="continuationSeparator" w:id="0">
    <w:p w:rsidR="00AC4113" w:rsidRDefault="00AC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7B35"/>
    <w:multiLevelType w:val="hybridMultilevel"/>
    <w:tmpl w:val="B6DC8D2E"/>
    <w:lvl w:ilvl="0" w:tplc="242AD4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992C0D"/>
    <w:multiLevelType w:val="hybridMultilevel"/>
    <w:tmpl w:val="B6DC8D2E"/>
    <w:lvl w:ilvl="0" w:tplc="242AD4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AC"/>
    <w:rsid w:val="00166492"/>
    <w:rsid w:val="00596B00"/>
    <w:rsid w:val="005B7EAC"/>
    <w:rsid w:val="00994CDB"/>
    <w:rsid w:val="00AC4113"/>
    <w:rsid w:val="00AF7A2A"/>
    <w:rsid w:val="00C85D48"/>
    <w:rsid w:val="00FC5E3B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17021-C10A-4B89-9AF3-79129509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AC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EAC"/>
    <w:pPr>
      <w:ind w:left="720"/>
      <w:contextualSpacing/>
    </w:pPr>
  </w:style>
  <w:style w:type="table" w:styleId="TableGrid">
    <w:name w:val="Table Grid"/>
    <w:basedOn w:val="TableNormal"/>
    <w:uiPriority w:val="59"/>
    <w:rsid w:val="005B7E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B7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A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ARMIN-SYS</dc:creator>
  <cp:keywords/>
  <dc:description/>
  <cp:lastModifiedBy>admin</cp:lastModifiedBy>
  <cp:revision>4</cp:revision>
  <dcterms:created xsi:type="dcterms:W3CDTF">2020-09-05T05:12:00Z</dcterms:created>
  <dcterms:modified xsi:type="dcterms:W3CDTF">2020-09-07T06:39:00Z</dcterms:modified>
</cp:coreProperties>
</file>